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F" w:rsidRPr="00402FDF" w:rsidRDefault="00402FDF" w:rsidP="00402FDF">
      <w:pPr>
        <w:pStyle w:val="ConsPlusTitle"/>
        <w:jc w:val="center"/>
        <w:outlineLvl w:val="0"/>
      </w:pPr>
      <w:r w:rsidRPr="00402FDF">
        <w:t>МУНИЦИПАЛЬНОЕ ОБРАЗОВАНИЕ</w:t>
      </w:r>
    </w:p>
    <w:p w:rsidR="00402FDF" w:rsidRPr="00402FDF" w:rsidRDefault="00402FDF" w:rsidP="00402FDF">
      <w:pPr>
        <w:pStyle w:val="ConsPlusTitle"/>
        <w:jc w:val="center"/>
        <w:outlineLvl w:val="0"/>
      </w:pPr>
      <w:r w:rsidRPr="00402FDF">
        <w:t>ЧИЛИНСКОЕ СЕЛЬСКОЕ ПОСЕЛЕНИЕ</w:t>
      </w:r>
    </w:p>
    <w:p w:rsidR="00402FDF" w:rsidRPr="00402FDF" w:rsidRDefault="00402FDF" w:rsidP="00402FDF">
      <w:pPr>
        <w:pStyle w:val="ConsPlusTitle"/>
        <w:jc w:val="center"/>
        <w:outlineLvl w:val="0"/>
      </w:pPr>
    </w:p>
    <w:p w:rsidR="00402FDF" w:rsidRPr="00402FDF" w:rsidRDefault="00402FDF" w:rsidP="00402FDF">
      <w:pPr>
        <w:pStyle w:val="ConsPlusTitle"/>
        <w:jc w:val="center"/>
        <w:outlineLvl w:val="0"/>
      </w:pPr>
      <w:r w:rsidRPr="00402FDF">
        <w:t>СОВЕТ ЧИЛИНСКОГО СЕЛЬСКОГО ПОСЕЛЕНИЯ</w:t>
      </w:r>
    </w:p>
    <w:p w:rsidR="00B761EB" w:rsidRPr="00B761EB" w:rsidRDefault="00AC109A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ПРОЕКТ</w:t>
      </w: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5E1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1EB" w:rsidRPr="00B761EB" w:rsidRDefault="004775B9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14.11</w:t>
      </w:r>
      <w:r w:rsid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.2018  </w:t>
      </w:r>
      <w:r w:rsidR="00B761EB"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E1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B761EB"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</w:p>
    <w:p w:rsidR="00402FDF" w:rsidRDefault="00402FDF" w:rsidP="00402FDF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Чилино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 благоустройства территории</w:t>
      </w:r>
    </w:p>
    <w:p w:rsidR="00B761EB" w:rsidRPr="00B761EB" w:rsidRDefault="00402FDF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Чилинского</w:t>
      </w:r>
      <w:r w:rsidR="00B761EB"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</w:t>
      </w:r>
      <w:r w:rsidR="0040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</w:t>
      </w:r>
      <w:r w:rsidR="0040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40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ЧИЛИНСКОГО</w:t>
      </w: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Правила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благоустройства территории </w:t>
      </w:r>
      <w:r w:rsidR="00402F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сельского поселения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402FDF" w:rsidRPr="007D11F5">
        <w:rPr>
          <w:rFonts w:ascii="Times New Roman" w:hAnsi="Times New Roman"/>
          <w:bCs/>
          <w:sz w:val="24"/>
          <w:szCs w:val="24"/>
        </w:rPr>
        <w:t xml:space="preserve">Обнародовать настоящее </w:t>
      </w:r>
      <w:r w:rsidR="00402FDF" w:rsidRPr="007D11F5">
        <w:rPr>
          <w:rFonts w:ascii="Times New Roman" w:hAnsi="Times New Roman"/>
          <w:sz w:val="24"/>
          <w:szCs w:val="24"/>
        </w:rPr>
        <w:t xml:space="preserve">решение в установленном Уставом </w:t>
      </w:r>
      <w:r w:rsidR="00402FDF">
        <w:rPr>
          <w:rFonts w:ascii="Times New Roman" w:hAnsi="Times New Roman"/>
          <w:sz w:val="24"/>
          <w:szCs w:val="24"/>
        </w:rPr>
        <w:t>Чилинского</w:t>
      </w:r>
      <w:r w:rsidR="00402FDF" w:rsidRPr="007D11F5">
        <w:rPr>
          <w:rFonts w:ascii="Times New Roman" w:hAnsi="Times New Roman"/>
          <w:sz w:val="24"/>
          <w:szCs w:val="24"/>
        </w:rPr>
        <w:t xml:space="preserve"> сельского поселения порядке</w:t>
      </w:r>
      <w:r w:rsidR="00402FDF" w:rsidRPr="007D11F5">
        <w:rPr>
          <w:rFonts w:ascii="Times New Roman" w:hAnsi="Times New Roman"/>
          <w:bCs/>
          <w:sz w:val="24"/>
          <w:szCs w:val="24"/>
        </w:rPr>
        <w:t xml:space="preserve"> </w:t>
      </w:r>
      <w:r w:rsidR="00402FDF" w:rsidRPr="007D11F5">
        <w:rPr>
          <w:rFonts w:ascii="Times New Roman" w:hAnsi="Times New Roman"/>
          <w:sz w:val="24"/>
          <w:szCs w:val="24"/>
        </w:rPr>
        <w:t>и разместить</w:t>
      </w:r>
      <w:r w:rsidR="00402FDF" w:rsidRPr="007D11F5">
        <w:rPr>
          <w:rFonts w:ascii="Times New Roman" w:hAnsi="Times New Roman"/>
          <w:bCs/>
          <w:sz w:val="24"/>
          <w:szCs w:val="24"/>
        </w:rPr>
        <w:t xml:space="preserve"> </w:t>
      </w:r>
      <w:r w:rsidR="00402FDF" w:rsidRPr="007D11F5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«</w:t>
      </w:r>
      <w:r w:rsidR="00402FDF">
        <w:rPr>
          <w:rFonts w:ascii="Times New Roman" w:hAnsi="Times New Roman"/>
          <w:sz w:val="24"/>
          <w:szCs w:val="24"/>
        </w:rPr>
        <w:t>Чилинское</w:t>
      </w:r>
      <w:r w:rsidR="00402FDF" w:rsidRPr="007D11F5">
        <w:rPr>
          <w:rFonts w:ascii="Times New Roman" w:hAnsi="Times New Roman"/>
          <w:sz w:val="24"/>
          <w:szCs w:val="24"/>
        </w:rPr>
        <w:t xml:space="preserve"> сельское поселение» в сети Интернет по адресу – 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r w:rsidR="00402FD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chilino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Настоящее решение вступает в силу с даты его официального </w:t>
      </w:r>
      <w:r w:rsidR="00402FDF" w:rsidRPr="007D11F5">
        <w:rPr>
          <w:rFonts w:ascii="Times New Roman" w:hAnsi="Times New Roman"/>
          <w:sz w:val="24"/>
          <w:szCs w:val="24"/>
        </w:rPr>
        <w:t>обнародования</w:t>
      </w:r>
      <w:r w:rsidR="00402FDF">
        <w:rPr>
          <w:rFonts w:ascii="Times New Roman" w:hAnsi="Times New Roman"/>
          <w:sz w:val="24"/>
          <w:szCs w:val="24"/>
        </w:rPr>
        <w:t>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за исполнением </w:t>
      </w:r>
      <w:r w:rsidR="00B307A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решения возложить на контрольно-правовой </w:t>
      </w:r>
      <w:r w:rsidR="001B695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комиссию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Совета </w:t>
      </w:r>
      <w:r w:rsidR="00402F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сельского поселения.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  <w:r w:rsidRPr="007B6A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О.И. Смелова                               </w:t>
      </w:r>
    </w:p>
    <w:p w:rsidR="007B6A95" w:rsidRPr="007B6A95" w:rsidRDefault="007B6A95" w:rsidP="007B6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5" w:rsidRPr="007B6A95" w:rsidRDefault="007B6A95" w:rsidP="007B6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 xml:space="preserve">Глава Чилинского </w:t>
      </w: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Г.В. Паршина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7B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B761EB" w:rsidRPr="00B761EB" w:rsidRDefault="00402FDF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 </w:t>
      </w: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поселения от</w:t>
      </w:r>
      <w:r w:rsidR="004775B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14.11.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</w:t>
      </w:r>
      <w:r w:rsidR="004775B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ПРАВИЛА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благоустройства территории </w:t>
      </w:r>
      <w:r w:rsidR="00402FDF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1. Настоящие Правила благоустройства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FF60E5" w:rsidRDefault="00BD53AF" w:rsidP="00FF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</w:t>
      </w:r>
      <w:r w:rsidR="0087442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1.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 xml:space="preserve">для администрации муниципального образования </w:t>
      </w:r>
      <w:r w:rsidR="00FF60E5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F60E5">
        <w:rPr>
          <w:rFonts w:ascii="Times New Roman" w:eastAsia="Times New Roman" w:hAnsi="Times New Roman" w:cs="Times New Roman"/>
          <w:sz w:val="24"/>
          <w:szCs w:val="24"/>
        </w:rPr>
        <w:t>кого поселения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FF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>Администрация), юридических и физических лиц, являющихся собственниками, правообладателями расположенных на территориях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744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 xml:space="preserve"> Действие настоящих Правил не распростра</w:t>
      </w:r>
      <w:r>
        <w:rPr>
          <w:rFonts w:ascii="Times New Roman" w:eastAsia="Times New Roman" w:hAnsi="Times New Roman" w:cs="Times New Roman"/>
          <w:sz w:val="24"/>
          <w:szCs w:val="24"/>
        </w:rPr>
        <w:t>няется на организацию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и проведение земляных, строительных, реконструкционных или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на объектах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культурного наследия.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44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. Задачи настоящих Правил: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1) обеспечение содержания объектов благоустройства на территории поселения;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2) обеспечение доступности мест общественного 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на территории поселения;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3) обеспечение сохранности внешнего архитектурно-художественного облика территорий поселения;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4) обеспечение сохранности объектов благоустройства, расположенных на территориях поселения;</w:t>
      </w:r>
    </w:p>
    <w:p w:rsidR="00BD53AF" w:rsidRPr="00FB6810" w:rsidRDefault="00BD53AF" w:rsidP="00FF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5) обеспечение комфортного и безопасного проживан</w:t>
      </w:r>
      <w:r>
        <w:rPr>
          <w:rFonts w:ascii="Times New Roman" w:eastAsia="Times New Roman" w:hAnsi="Times New Roman" w:cs="Times New Roman"/>
          <w:sz w:val="24"/>
          <w:szCs w:val="24"/>
        </w:rPr>
        <w:t>ия граждан на территориях поселения</w:t>
      </w:r>
    </w:p>
    <w:p w:rsidR="00B761EB" w:rsidRDefault="00BD53AF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</w:t>
      </w:r>
      <w:r w:rsidR="0087442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2.1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Основные понятия, используемые в настоящих Правилах:</w:t>
      </w:r>
    </w:p>
    <w:p w:rsidR="00821CB0" w:rsidRPr="00821CB0" w:rsidRDefault="00821CB0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</w:t>
      </w:r>
      <w:r w:rsidRPr="00821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821CB0" w:rsidRPr="00821CB0" w:rsidRDefault="00821CB0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1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2)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821CB0" w:rsidRPr="00821CB0" w:rsidRDefault="00821CB0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21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3)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монта жилых и нежилых помещений;</w:t>
      </w:r>
    </w:p>
    <w:p w:rsidR="00B307A0" w:rsidRDefault="00B307A0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</w:t>
      </w:r>
      <w:r w:rsidRP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другое).</w:t>
      </w:r>
    </w:p>
    <w:p w:rsidR="00874421" w:rsidRPr="00B307A0" w:rsidRDefault="00874421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3. Финансирование на благоустроительные работы предусматривается решением Совета поселения « О бюджете муниципального образования Чилинское сельское поселения» на год , с ежегодной корректировкой.</w:t>
      </w:r>
    </w:p>
    <w:p w:rsidR="00B307A0" w:rsidRDefault="00B307A0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74421" w:rsidRPr="00B761EB" w:rsidRDefault="00874421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Организации, управляющие и обслуживающие жилищный фонд, иные юридические лица, индивидуальные предприниматели, граждане, являющиеся собственниками, владельцами или арендаторами зданий, строений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и сооружений, индивидуальных жилых домов, обязаны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еспечить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своевременное производство работ по реставрации, ремонт</w:t>
      </w:r>
      <w:r>
        <w:rPr>
          <w:rFonts w:ascii="Times New Roman" w:eastAsia="Times New Roman" w:hAnsi="Times New Roman" w:cs="Times New Roman"/>
          <w:sz w:val="24"/>
          <w:szCs w:val="24"/>
        </w:rPr>
        <w:t>у и покраске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фасадов зданий и сооружений и их отдельных элементов, заборов, ограждений с фасадной части, индивидуальных жилых домов, а также содержать в чистоте и исправном состоянии входы, витрины, вывески, и освещение витрин в вечернее время.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На зданиях в соответствии с установленным порядком нумерации домов должны быть вывешены таблички с номерами домов определённого образца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Указатели наименования улиц, номеров домов должны содержаться собственниками зданий в чистоте и технически исправном состоянии.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На зданиях, находящихся на пересечении улиц, должны быть установлены указатели с названием улиц и номерами домов.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Расположенные на фасадах нежилых зданий информационные таблички, указатели, памятные доски должны поддерживаться в чистоте, исправном состоянии и освещаться в тёмное время суток.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Размещение табличек и указателей и их содержание осуществляются собственником или балансодержателем здания.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Входы,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витрины, вывески, средства размещения информации должны содержаться в чистоте и исправном состоянии.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При входах в здания необходимо предусматривать организацию площадок с твёрдыми видами покрытия, скамьями, урнами и различными приёмами озеленения.</w:t>
      </w:r>
    </w:p>
    <w:p w:rsidR="00CE71A0" w:rsidRPr="00FB6810" w:rsidRDefault="00CE71A0" w:rsidP="00CE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Закреплённые на стене металлические элементы необходимо регулярно окрашивать, защищать от коррозии.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Витрины, расположенные на внешних поверхностях зданий, строений, сооружений, должны быть просматриваемыми, очищены от грязи и отходов.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Освещение витрин должно производиться ежедневно с наступлением тёмного времени суток и прекращаться не ранее времени отключения уличного освещения.</w:t>
      </w:r>
    </w:p>
    <w:p w:rsidR="00B761EB" w:rsidRPr="00CE71A0" w:rsidRDefault="00CE71A0" w:rsidP="00CE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5.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законодательством, настоящими Правилами и иными муниципальными правовыми актами.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6. Содержание и санитарная уборка территории муниципального образования 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осуществляется силами и средствами собственников, владельцев, пользователей и 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арендаторов земельных участков.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</w:t>
      </w:r>
      <w:r w:rsidR="009216F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установленных законами субъекта Российской Федерации .</w:t>
      </w:r>
    </w:p>
    <w:p w:rsidR="008608E7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7. </w:t>
      </w:r>
      <w:r w:rsidR="008608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Содержание территории общего пользования определяются требованиями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761EB" w:rsidRPr="00B761EB" w:rsidRDefault="008608E7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874421" w:rsidRPr="00874421" w:rsidRDefault="00874421" w:rsidP="008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Администрация 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 xml:space="preserve"> привлекат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 xml:space="preserve"> граждан к выполнению  на добровольной основе работ по уборке, благоустройству и озеленению территории поселения.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6B18">
        <w:rPr>
          <w:rFonts w:ascii="Times New Roman" w:hAnsi="Times New Roman" w:cs="Times New Roman"/>
          <w:sz w:val="24"/>
          <w:szCs w:val="24"/>
          <w:lang w:bidi="ru-RU"/>
        </w:rPr>
        <w:t>7.1. Границы прилегающей территории, на которой, землепользователи обязаны осуществлять санитарную уборку, определяются</w:t>
      </w:r>
      <w:r w:rsidR="00016358" w:rsidRPr="000D6B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95530" w:rsidRPr="000D6B18">
        <w:rPr>
          <w:rFonts w:ascii="Times New Roman" w:hAnsi="Times New Roman" w:cs="Times New Roman"/>
          <w:color w:val="333333"/>
          <w:sz w:val="24"/>
          <w:szCs w:val="24"/>
        </w:rPr>
        <w:t>в соответствии с порядком, установленным законом субъекта Российской Федерации</w:t>
      </w:r>
      <w:r w:rsidRPr="000D6B18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3) вокруг рекламных щитов – в радиусе 10 метров от самого объекта;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4) вокруг остановок транспорта – в радиусе 10 метров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5) около водоразборных колонок – в радиусе 15 метров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7) вокруг бензозаправочных станций – в радиусе 50 метров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9) для многоквартирного дома - земельный участок, на котором расположен многоквартирный дом</w:t>
      </w:r>
      <w:r w:rsidR="00512C5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10) для строительных площадок - не менее 15 метров от ограждения стройки по всему периметру.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</w:t>
      </w:r>
      <w:r w:rsidR="00512C5E">
        <w:rPr>
          <w:rFonts w:ascii="Times New Roman" w:hAnsi="Times New Roman" w:cs="Times New Roman"/>
          <w:sz w:val="24"/>
          <w:szCs w:val="24"/>
          <w:lang w:bidi="ru-RU"/>
        </w:rPr>
        <w:t>астка по соглашению между ними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1EB" w:rsidRPr="00B761EB" w:rsidRDefault="00B761EB" w:rsidP="00B307A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8.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Все физические лица (в том числе индивидуальные предприниматели), юридические лица, независимо от организационно-правовой формы, - владельцы строений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и временных сооружений – обязаны: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B761EB" w:rsidRPr="00B307A0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2) осуществлять благоустройство (включая очистку и уборку) объектов благоустройств</w:t>
      </w:r>
      <w:r w:rsidR="004E6BD2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зданий и балконов.</w:t>
      </w:r>
    </w:p>
    <w:p w:rsidR="00512C5E" w:rsidRPr="00512C5E" w:rsidRDefault="00512C5E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</w:t>
      </w:r>
      <w:r>
        <w:rPr>
          <w:rFonts w:ascii="Times New Roman" w:hAnsi="Times New Roman" w:cs="Times New Roman"/>
          <w:sz w:val="24"/>
          <w:szCs w:val="24"/>
          <w:lang w:bidi="ru-RU"/>
        </w:rPr>
        <w:t>тствии с настоящими Правилами;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</w:t>
      </w:r>
      <w:r w:rsidR="007162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землепользователи –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B761EB" w:rsidRPr="00BE1544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</w:t>
      </w:r>
      <w:r w:rsidR="004E6BD2"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лицевы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="007162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(уличны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забор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ворот, фасад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озеленять лицевые части участков;</w:t>
      </w:r>
    </w:p>
    <w:p w:rsidR="00B761EB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B761EB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B761EB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производить разжигание костров, применять огневой способ оттаивания мерзлых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.Все собственники, землепользователи, арендаторы земельных участков, расположенных на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 допускать зарастание земельных учас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тков сорняками или кустарниками.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весенне-летний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="00D95530" w:rsidRPr="000D6B18">
        <w:rPr>
          <w:rFonts w:ascii="Times New Roman" w:hAnsi="Times New Roman" w:cs="Times New Roman"/>
          <w:sz w:val="24"/>
          <w:szCs w:val="24"/>
        </w:rPr>
        <w:t>Организации стоков ливневых вод</w:t>
      </w:r>
      <w:r w:rsidR="00D95530" w:rsidRPr="000D6B18">
        <w:rPr>
          <w:rFonts w:ascii="Arial" w:hAnsi="Arial" w:cs="Arial"/>
        </w:rPr>
        <w:t xml:space="preserve">. 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осенне-зимний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листьев, очистку дорог от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пользования более 7 дней;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 откидывать снег от жилых усадеб на проезжую часть улиц.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B761EB" w:rsidRPr="00740D6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Pr="00740D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фасадов зданий и сооружений, ограждения;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настоящих Правил;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предприятиями на договорной основе;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</w:t>
      </w:r>
      <w:r w:rsidRP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у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512C5E" w:rsidRPr="00B761EB" w:rsidRDefault="00512C5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5)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485464">
          <w:rPr>
            <w:rFonts w:ascii="Times New Roman" w:hAnsi="Times New Roman" w:cs="Times New Roman"/>
            <w:sz w:val="24"/>
            <w:szCs w:val="24"/>
            <w:lang w:bidi="ru-RU"/>
          </w:rPr>
          <w:t>15 метров</w:t>
        </w:r>
      </w:smartTag>
      <w:r w:rsidRPr="00485464">
        <w:rPr>
          <w:rFonts w:ascii="Times New Roman" w:hAnsi="Times New Roman" w:cs="Times New Roman"/>
          <w:sz w:val="24"/>
          <w:szCs w:val="24"/>
          <w:lang w:bidi="ru-RU"/>
        </w:rPr>
        <w:t>, с обязательной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вывозкой снега в зимнее время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малых архитектурных форм: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3)выезды со строительной площадки должны выходить на второстепенные улицы. Подъездные пути должны иметь твердое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гаражей:</w:t>
      </w:r>
    </w:p>
    <w:p w:rsidR="00512C5E" w:rsidRPr="00485464" w:rsidRDefault="00B761EB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</w:t>
      </w:r>
      <w:r w:rsidR="00512C5E" w:rsidRPr="00485464">
        <w:rPr>
          <w:rFonts w:ascii="Times New Roman" w:hAnsi="Times New Roman" w:cs="Times New Roman"/>
          <w:sz w:val="24"/>
          <w:szCs w:val="24"/>
          <w:lang w:bidi="ru-RU"/>
        </w:rPr>
        <w:t>владельцы металлических гаражей и гаражей, расположенных в блоках обязаны:</w:t>
      </w:r>
    </w:p>
    <w:p w:rsidR="00512C5E" w:rsidRPr="00485464" w:rsidRDefault="00512C5E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а) производить ремонт фасадов гаражей в блоке;</w:t>
      </w:r>
    </w:p>
    <w:p w:rsidR="00512C5E" w:rsidRPr="00485464" w:rsidRDefault="00512C5E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б)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485464">
          <w:rPr>
            <w:rFonts w:ascii="Times New Roman" w:hAnsi="Times New Roman" w:cs="Times New Roman"/>
            <w:sz w:val="24"/>
            <w:szCs w:val="24"/>
            <w:lang w:bidi="ru-RU"/>
          </w:rPr>
          <w:t>5 метров</w:t>
        </w:r>
      </w:smartTag>
      <w:r w:rsidRPr="004854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1EB" w:rsidRPr="00512C5E" w:rsidRDefault="00512C5E" w:rsidP="00512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в) не складировать (допускать складирование) бытовых отходов, металлического лома на прилегающей к гаражам территории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D77B0D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случаях поломки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каменных, железобетонных и металлических оград, опор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фонарей уличного освещения, трансформаторных будок производит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ся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их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ремонт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5A339F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инженерных коммуникаций</w:t>
      </w:r>
    </w:p>
    <w:p w:rsidR="00B761EB" w:rsidRPr="00B761EB" w:rsidRDefault="00D77B0D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Предоставление, продление, переоформление, закрытие и аннулирование Разрешения осуществляется в порядке, установленном решением Совета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05.09.2017 № 258 «Об утверждении порядка предоставления разрешения на осуществление земляных работ на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поселения».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устройство временных отвалов снятого асфальта и мусора.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Восстановление дорожных 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покрытий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аннулируется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насаждениям: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07254A" w:rsidRPr="0007254A" w:rsidRDefault="0007254A" w:rsidP="00072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Выдача разрешения на вырубку деревьев, кустарников осуществляется в соответствии с постановлением Администрации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13.07.2012 № 172 </w:t>
      </w:r>
      <w:r w:rsidRP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07254A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деревьями и кустарниками: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стрижку живых изгородей;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побелку стволов деревьев и кустарника;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Инвентаризация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разжигать костры, сжигать мусор, листву;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рвать цветы, ломать деревья и кустарники;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2) скол льда и наледи с водоразборных колонок;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8608E7" w:rsidRPr="00B761EB" w:rsidRDefault="008608E7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. Праздничное оформление территории муниципального образования выполняется по решению Администрации </w:t>
      </w:r>
      <w:r w:rsidR="00402FD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6. Оформление зданий, строений, сооружений осуществляется их собственниками (владельцами) в рамках утвержденной постановлением Администрации </w:t>
      </w:r>
      <w:r w:rsidR="00402FD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Чилинского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8.</w:t>
      </w:r>
      <w:r w:rsidRPr="00B761EB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8608E7" w:rsidRPr="00B761EB" w:rsidRDefault="008608E7" w:rsidP="00B76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8608E7" w:rsidRPr="00B761EB" w:rsidRDefault="008608E7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0" w:name="Par4"/>
      <w:bookmarkEnd w:id="0"/>
      <w:r w:rsidRPr="00B761EB">
        <w:rPr>
          <w:rFonts w:ascii="Times New Roman" w:eastAsia="Calibri" w:hAnsi="Times New Roman" w:cs="Times New Roman"/>
          <w:sz w:val="24"/>
          <w:szCs w:val="24"/>
        </w:rPr>
        <w:t>6</w:t>
      </w:r>
      <w:r w:rsidR="008608E7">
        <w:rPr>
          <w:rFonts w:ascii="Times New Roman" w:eastAsia="Calibri" w:hAnsi="Times New Roman" w:cs="Times New Roman"/>
          <w:sz w:val="24"/>
          <w:szCs w:val="24"/>
        </w:rPr>
        <w:t>0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874421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874421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2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761EB" w:rsidRPr="00B761EB" w:rsidRDefault="00874421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63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874421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761EB" w:rsidRPr="00B761EB" w:rsidRDefault="00874421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</w:t>
      </w:r>
      <w:r w:rsidR="00B761EB" w:rsidRPr="00B761EB">
        <w:rPr>
          <w:rFonts w:ascii="Times New Roman" w:eastAsia="Calibri" w:hAnsi="Times New Roman" w:cs="Times New Roman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0D6B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Pr="00B761EB" w:rsidRDefault="009F62ED" w:rsidP="00A4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Приложение № 1 к Правилам </w:t>
      </w: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>«</w:t>
      </w:r>
      <w:r w:rsidR="00402FDF">
        <w:rPr>
          <w:rFonts w:ascii="Times New Roman" w:eastAsia="Times New Roman" w:hAnsi="Times New Roman" w:cs="Times New Roman"/>
          <w:lang w:eastAsia="ru-RU"/>
        </w:rPr>
        <w:t>Чилинское</w:t>
      </w:r>
      <w:r w:rsidRPr="00B761E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B761EB" w:rsidRPr="00B761EB" w:rsidRDefault="00B761EB" w:rsidP="00B761EB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B761EB" w:rsidRPr="00B761EB" w:rsidRDefault="00402FDF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Чилинского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Время «____» час. «____» мин.                                                                      с.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Администрацией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 в лице 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выявлены в ходе обследования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следующие нарушения Правил благоустройства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</w:t>
      </w:r>
      <w:r w:rsidR="00402FDF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сельского поселения)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составившего акт)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Пометка об исполнении (неисполнении) предписания об устранении нарушений Правил благоустройства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:rsid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Pr="00B761EB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lastRenderedPageBreak/>
        <w:t xml:space="preserve">Приложение № 2 к Правилам </w:t>
      </w: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>«</w:t>
      </w:r>
      <w:r w:rsidR="00402FDF">
        <w:rPr>
          <w:rFonts w:ascii="Times New Roman" w:eastAsia="Lucida Sans Unicode" w:hAnsi="Times New Roman" w:cs="Times New Roman"/>
          <w:lang w:eastAsia="ru-RU" w:bidi="ru-RU"/>
        </w:rPr>
        <w:t>Чилинское</w:t>
      </w: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 сельское поселение»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B761EB" w:rsidRPr="00B761EB" w:rsidRDefault="00B761EB" w:rsidP="00B761E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адресу: с.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ул.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Кустар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ная,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каб. 3, или по телефону (38 244) 35 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30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Предписание продлил(а)_______________________________________________________   Администрации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A42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B761EB" w:rsidSect="005E1164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6F" w:rsidRDefault="001F2C6F" w:rsidP="005C78EA">
      <w:pPr>
        <w:spacing w:after="0" w:line="240" w:lineRule="auto"/>
      </w:pPr>
      <w:r>
        <w:separator/>
      </w:r>
    </w:p>
  </w:endnote>
  <w:endnote w:type="continuationSeparator" w:id="1">
    <w:p w:rsidR="001F2C6F" w:rsidRDefault="001F2C6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6F" w:rsidRDefault="001F2C6F" w:rsidP="005C78EA">
      <w:pPr>
        <w:spacing w:after="0" w:line="240" w:lineRule="auto"/>
      </w:pPr>
      <w:r>
        <w:separator/>
      </w:r>
    </w:p>
  </w:footnote>
  <w:footnote w:type="continuationSeparator" w:id="1">
    <w:p w:rsidR="001F2C6F" w:rsidRDefault="001F2C6F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14FEB"/>
    <w:rsid w:val="00016358"/>
    <w:rsid w:val="0001669E"/>
    <w:rsid w:val="00022685"/>
    <w:rsid w:val="00026930"/>
    <w:rsid w:val="000374C2"/>
    <w:rsid w:val="000475A3"/>
    <w:rsid w:val="00065B89"/>
    <w:rsid w:val="0007254A"/>
    <w:rsid w:val="00073E55"/>
    <w:rsid w:val="000A3401"/>
    <w:rsid w:val="000D6B18"/>
    <w:rsid w:val="000E4029"/>
    <w:rsid w:val="00104082"/>
    <w:rsid w:val="0011499D"/>
    <w:rsid w:val="001408A2"/>
    <w:rsid w:val="00152003"/>
    <w:rsid w:val="00164405"/>
    <w:rsid w:val="001856FB"/>
    <w:rsid w:val="001B6952"/>
    <w:rsid w:val="001D1141"/>
    <w:rsid w:val="001D3641"/>
    <w:rsid w:val="001D7F74"/>
    <w:rsid w:val="001E2422"/>
    <w:rsid w:val="001E6456"/>
    <w:rsid w:val="001F1259"/>
    <w:rsid w:val="001F2C6F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02FDF"/>
    <w:rsid w:val="004225E4"/>
    <w:rsid w:val="00460915"/>
    <w:rsid w:val="00466D8E"/>
    <w:rsid w:val="0047473A"/>
    <w:rsid w:val="004775B9"/>
    <w:rsid w:val="004806AB"/>
    <w:rsid w:val="00485464"/>
    <w:rsid w:val="004959BE"/>
    <w:rsid w:val="004B33A8"/>
    <w:rsid w:val="004C1A5D"/>
    <w:rsid w:val="004C5B86"/>
    <w:rsid w:val="004D2310"/>
    <w:rsid w:val="004E2245"/>
    <w:rsid w:val="004E6BD2"/>
    <w:rsid w:val="00504D9C"/>
    <w:rsid w:val="005060B1"/>
    <w:rsid w:val="00512C5E"/>
    <w:rsid w:val="00570C08"/>
    <w:rsid w:val="00576929"/>
    <w:rsid w:val="00592DC6"/>
    <w:rsid w:val="005A339F"/>
    <w:rsid w:val="005C78EA"/>
    <w:rsid w:val="005E1164"/>
    <w:rsid w:val="00607BC7"/>
    <w:rsid w:val="00677D62"/>
    <w:rsid w:val="0068054A"/>
    <w:rsid w:val="006B6200"/>
    <w:rsid w:val="006B6D7D"/>
    <w:rsid w:val="006E7304"/>
    <w:rsid w:val="006F564E"/>
    <w:rsid w:val="006F6BB9"/>
    <w:rsid w:val="007030C7"/>
    <w:rsid w:val="00711079"/>
    <w:rsid w:val="00716219"/>
    <w:rsid w:val="0072694E"/>
    <w:rsid w:val="00740D66"/>
    <w:rsid w:val="0074593C"/>
    <w:rsid w:val="00761F5C"/>
    <w:rsid w:val="00762753"/>
    <w:rsid w:val="00762F8F"/>
    <w:rsid w:val="00765366"/>
    <w:rsid w:val="00775DE1"/>
    <w:rsid w:val="007861F9"/>
    <w:rsid w:val="007B6A95"/>
    <w:rsid w:val="007C44E4"/>
    <w:rsid w:val="007E3488"/>
    <w:rsid w:val="007F1CE7"/>
    <w:rsid w:val="00816D42"/>
    <w:rsid w:val="00821CB0"/>
    <w:rsid w:val="008608E7"/>
    <w:rsid w:val="0086692F"/>
    <w:rsid w:val="00872DAE"/>
    <w:rsid w:val="00874421"/>
    <w:rsid w:val="008964FB"/>
    <w:rsid w:val="008B7CDB"/>
    <w:rsid w:val="008D06AC"/>
    <w:rsid w:val="008D19E0"/>
    <w:rsid w:val="008E22A8"/>
    <w:rsid w:val="008F2ED7"/>
    <w:rsid w:val="008F495C"/>
    <w:rsid w:val="009066F7"/>
    <w:rsid w:val="009216FC"/>
    <w:rsid w:val="00930514"/>
    <w:rsid w:val="0093360A"/>
    <w:rsid w:val="00985005"/>
    <w:rsid w:val="00995FE1"/>
    <w:rsid w:val="009D24DF"/>
    <w:rsid w:val="009E6AA2"/>
    <w:rsid w:val="009F62ED"/>
    <w:rsid w:val="00A070FC"/>
    <w:rsid w:val="00A1474F"/>
    <w:rsid w:val="00A17048"/>
    <w:rsid w:val="00A24F51"/>
    <w:rsid w:val="00A320D6"/>
    <w:rsid w:val="00A421A8"/>
    <w:rsid w:val="00A4678D"/>
    <w:rsid w:val="00A90F52"/>
    <w:rsid w:val="00A95A2A"/>
    <w:rsid w:val="00AC1044"/>
    <w:rsid w:val="00AC109A"/>
    <w:rsid w:val="00AC6C63"/>
    <w:rsid w:val="00AF227D"/>
    <w:rsid w:val="00B0305B"/>
    <w:rsid w:val="00B22EFE"/>
    <w:rsid w:val="00B307A0"/>
    <w:rsid w:val="00B409CF"/>
    <w:rsid w:val="00B529A8"/>
    <w:rsid w:val="00B536D7"/>
    <w:rsid w:val="00B5458A"/>
    <w:rsid w:val="00B55636"/>
    <w:rsid w:val="00B634A4"/>
    <w:rsid w:val="00B761EB"/>
    <w:rsid w:val="00BD53AF"/>
    <w:rsid w:val="00BE1544"/>
    <w:rsid w:val="00BE2745"/>
    <w:rsid w:val="00BF16D6"/>
    <w:rsid w:val="00BF6DBB"/>
    <w:rsid w:val="00C01DF0"/>
    <w:rsid w:val="00C16816"/>
    <w:rsid w:val="00C21FF2"/>
    <w:rsid w:val="00C61F2A"/>
    <w:rsid w:val="00C6587B"/>
    <w:rsid w:val="00CB6B1D"/>
    <w:rsid w:val="00CB7E48"/>
    <w:rsid w:val="00CC4F4A"/>
    <w:rsid w:val="00CD322A"/>
    <w:rsid w:val="00CE71A0"/>
    <w:rsid w:val="00CF4A05"/>
    <w:rsid w:val="00D00544"/>
    <w:rsid w:val="00D26C30"/>
    <w:rsid w:val="00D40F50"/>
    <w:rsid w:val="00D424F0"/>
    <w:rsid w:val="00D77B0D"/>
    <w:rsid w:val="00D85E27"/>
    <w:rsid w:val="00D95530"/>
    <w:rsid w:val="00DA103A"/>
    <w:rsid w:val="00DA4628"/>
    <w:rsid w:val="00DD25F1"/>
    <w:rsid w:val="00DD7450"/>
    <w:rsid w:val="00E0384D"/>
    <w:rsid w:val="00E107D5"/>
    <w:rsid w:val="00E137CE"/>
    <w:rsid w:val="00E13C02"/>
    <w:rsid w:val="00E15CFE"/>
    <w:rsid w:val="00E231C6"/>
    <w:rsid w:val="00E342B3"/>
    <w:rsid w:val="00E421A0"/>
    <w:rsid w:val="00E64E57"/>
    <w:rsid w:val="00E75A95"/>
    <w:rsid w:val="00E93D82"/>
    <w:rsid w:val="00EA567A"/>
    <w:rsid w:val="00EC3A0C"/>
    <w:rsid w:val="00F35D7D"/>
    <w:rsid w:val="00F5786F"/>
    <w:rsid w:val="00F93333"/>
    <w:rsid w:val="00FA4FD6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6"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rsid w:val="0040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CA26-D10B-403A-BF2E-92B7EDFE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16</Pages>
  <Words>7685</Words>
  <Characters>43808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2018-12-03T03:44:00Z</cp:lastPrinted>
  <dcterms:created xsi:type="dcterms:W3CDTF">2016-11-21T05:04:00Z</dcterms:created>
  <dcterms:modified xsi:type="dcterms:W3CDTF">2018-12-03T03:45:00Z</dcterms:modified>
</cp:coreProperties>
</file>